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BC" w:rsidRDefault="00A23CBC" w:rsidP="00A23CBC">
      <w:r>
        <w:t xml:space="preserve">Title: </w:t>
      </w:r>
      <w:r w:rsidR="00D338BF" w:rsidRPr="00D338BF">
        <w:t xml:space="preserve">Examining the Potential of Conservation Practices to Maximize Subfield Profitability and Environmental Benefits   </w:t>
      </w:r>
    </w:p>
    <w:p w:rsidR="00A23CBC" w:rsidRDefault="00A23CBC" w:rsidP="00A23CBC">
      <w:r>
        <w:t>Author: Haleigh Summers</w:t>
      </w:r>
    </w:p>
    <w:p w:rsidR="00A23CBC" w:rsidRDefault="00A23CBC" w:rsidP="00A23CBC">
      <w:r>
        <w:t>Presentation Type: Oral</w:t>
      </w:r>
    </w:p>
    <w:p w:rsidR="00A23CBC" w:rsidRDefault="00A23CBC" w:rsidP="00A23CBC">
      <w:r>
        <w:t>Abstract:</w:t>
      </w:r>
    </w:p>
    <w:p w:rsidR="00D338BF" w:rsidRPr="0055285C" w:rsidRDefault="00D338BF" w:rsidP="00D338BF">
      <w:pPr>
        <w:rPr>
          <w:i/>
          <w:iCs/>
        </w:rPr>
      </w:pPr>
      <w:r>
        <w:t xml:space="preserve">Research suggests that 5-15% of an average farm field in Iowa regularly has low yields due to soil properties and landscape position, resulting in lower profitability than the surrounding field area, often to the point of net financial loss </w:t>
      </w:r>
      <w:r>
        <w:fldChar w:fldCharType="begin" w:fldLock="1"/>
      </w:r>
      <w:r>
        <w:instrText>ADDIN CSL_CITATION {"citationItems":[{"id":"ITEM-1","itemData":{"DOI":"10.2489/jswc.69.6.203A","ISSN":"0022-4561","author":[{"dropping-particle":"","family":"Muth","given":"D","non-dropping-particle":"","parse-names":false,"suffix":""}],"container-title":"Journal of Soil and Water Conservation","genre":"article","id":"ITEM-1","issue":"6","issued":{"date-parts":[["2014"]]},"page":"203A-206A","publisher":"Soil and Water Conservation Society etc","publisher-place":"Ankeny, Iowa [etc.]","title":"Profitability versus environmental performance: Are they competing?","title-short":"Journal of soil and water conservation.","type":"article-journal","volume":"69"},"uris":["http://www.mendeley.com/documents/?uuid=50065a7e-8834-3b24-a865-3102b3c4d0ca"]}],"mendeley":{"formattedCitation":"(Muth, 2014)","plainTextFormattedCitation":"(Muth, 2014)","previouslyFormattedCitation":"(Muth, 2014)"},"properties":{"noteIndex":0},"schema":"https://github.com/citation-style-language/schema/raw/master/csl-citation.json"}</w:instrText>
      </w:r>
      <w:r>
        <w:fldChar w:fldCharType="separate"/>
      </w:r>
      <w:r w:rsidRPr="00876089">
        <w:rPr>
          <w:noProof/>
        </w:rPr>
        <w:t>(Muth, 2014)</w:t>
      </w:r>
      <w:r>
        <w:fldChar w:fldCharType="end"/>
      </w:r>
      <w:r>
        <w:t xml:space="preserve">. These chronically unprofitable areas may be opportunities for strategic conservation practice placement. Removing these unprofitable areas will reduce input costs in these low-yielding areas while allowing farmers to achieve higher degrees of profitability in the rest of the field </w:t>
      </w:r>
      <w:r>
        <w:fldChar w:fldCharType="begin" w:fldLock="1"/>
      </w:r>
      <w:r>
        <w:instrText xml:space="preserve">ADDIN CSL_CITATION {"citationItems":[{"id":"ITEM-1","itemData":{"DOI":"10.1088/1748-9326/11/1/014009","ISSN":"17489326","abstract":"Public agencies and private enterprises increasingly desire to achieve ecosystem service outcomes in agricultural systems, but are limited by perceived conflicts between economic and ecosystem service goals and a lack of tools enabling effective operational management. Here we use Iowa - an agriculturally homogeneous state representative of the Maize Belt - to demonstrate an economic rationale for cropland diversification at the subfield scale. We used a novel computational framework that integrates disparate but publicly available data to map </w:instrText>
      </w:r>
      <w:r>
        <w:rPr>
          <w:rFonts w:ascii="Cambria Math" w:hAnsi="Cambria Math" w:cs="Cambria Math"/>
        </w:rPr>
        <w:instrText>∼</w:instrText>
      </w:r>
      <w:r>
        <w:instrText>3.3 million unique potential management polygons (9.3 Mha) and reveal subfield opportunities to increase overall field profitability. We analyzed subfield profitability for maize/soybean fields during 2010-2013 - four of the most profitable years in recent history - and projected results for 2015. While cropland operating at a loss of US$ 250 ha-1 or more was negligible between 2010 and 2013 at 18 000-190 000 ha (&lt;2% of row-crop land), the extent of highly unprofitable land increased to 2.5 Mha, or 27% of row-crop land, in the 2015 projection. Aggregation of these areas to the township level revealed 'hotspots' for potential management change in Western, Central, and Northeast Iowa. In these least profitable areas, incorporating conservation management that breaks even (e.g., planting low-input perennials), into low-yielding portions of fields could increase overall cropland profitability by 80%. This approach is applicable to the broader region and differs substantially from the status quo of 'top-down' land management for conservation by harnessing private interest to align profitability with the production of ecosystem services.","author":[{"dropping-particle":"","family":"Brandes","given":"Elke","non-dropping-particle":"","parse-names":false,"suffix":""},{"dropping-particle":"","family":"McNunn","given":"G. S.","non-dropping-particle":"","parse-names":false,"suffix":""},{"dropping-particle":"","family":"Schulte","given":"L. A.","non-dropping-particle":"","parse-names":false,"suffix":""},{"dropping-particle":"","family":"Bonner","given":"Ian J.","non-dropping-particle":"","parse-names":false,"suffix":""},{"dropping-particle":"","family":"Muth","given":"D. J.","non-dropping-particle":"","parse-names":false,"suffix":""},{"dropping-particle":"","family":"Babcock","given":"B. A.","non-dropping-particle":"","parse-names":false,"suffix":""},{"dropping-particle":"","family":"Sharma","given":"B.","non-dropping-particle":"","parse-names":false,"suffix":""},{"dropping-particle":"","family":"Heaton","given":"E. A.","non-dropping-particle":"","parse-names":false,"suffix":""}],"container-title":"Environmental Research Letters","id":"ITEM-1","issue":"1","issued":{"date-parts":[["2016","1","20"]]},"publisher":"Institute of Physics Publishing","title":"Subfield profitability analysis reveals an economic case for cropland diversification","type":"article-journal","volume":"11"},"uris":["http://www.mendeley.com/documents/?uuid=fe058ec5-5ae8-4970-9c60-e9ff577dfe44"]}],"mendeley":{"formattedCitation":"(Brandes et al., 2016)","plainTextFormattedCitation":"(Brandes et al., 2016)","previouslyFormattedCitation":"(Brandes et al., 2016)"},"properties":{"noteIndex":0},"schema":"https://github.com/citation-style-language/schema/raw/master/csl-citation.json"}</w:instrText>
      </w:r>
      <w:r>
        <w:fldChar w:fldCharType="separate"/>
      </w:r>
      <w:r w:rsidRPr="00B76506">
        <w:rPr>
          <w:noProof/>
        </w:rPr>
        <w:t>(Brandes et al., 2016)</w:t>
      </w:r>
      <w:r>
        <w:fldChar w:fldCharType="end"/>
      </w:r>
      <w:r>
        <w:t xml:space="preserve">. However, while these unprofitable areas may make economic sense for conversion to conservation practices, it remains unclear if these locations are also the best opportunities to address resource concerns or enhance environmental benefits, such as reduced soil erosion and nutrient loss. For example, there may be fields where unprofitable areas are also areas of greatest resource concern, meaning that strategic placement of a conservation practice may be both economically and biophysically advantageous. However, the opposite may also be true, wherein unprofitable areas and needed areas to address resource concerns do not overlap. Those locations where overlap does not occur could benefit non-spatially determined environmental benefits, such as wildlife or pollinator habitat, depending more on notions of </w:t>
      </w:r>
      <w:r w:rsidR="00887DD5">
        <w:t>connectivity</w:t>
      </w:r>
      <w:r>
        <w:t xml:space="preserve"> and overall conserved area rather than the landscape or soil position. </w:t>
      </w:r>
      <w:r w:rsidRPr="008C7EC4">
        <w:rPr>
          <w:i/>
          <w:iCs/>
        </w:rPr>
        <w:t>This proposed dissertation chapter seeks to</w:t>
      </w:r>
      <w:r>
        <w:rPr>
          <w:i/>
          <w:iCs/>
        </w:rPr>
        <w:t xml:space="preserve"> answer the question</w:t>
      </w:r>
      <w:r w:rsidRPr="009B16EE">
        <w:rPr>
          <w:i/>
          <w:iCs/>
        </w:rPr>
        <w:t>: "do subfield opportunities for farmers to improve field-level financial outcomes serve as an incentive for conservation?"</w:t>
      </w:r>
      <w:r>
        <w:rPr>
          <w:i/>
          <w:iCs/>
        </w:rPr>
        <w:t xml:space="preserve"> </w:t>
      </w:r>
      <w:r w:rsidRPr="0055285C">
        <w:t>To answer this question, and to understand what circumstances might lead to th</w:t>
      </w:r>
      <w:r>
        <w:t>ese</w:t>
      </w:r>
      <w:r w:rsidRPr="0055285C">
        <w:t xml:space="preserve"> situation</w:t>
      </w:r>
      <w:r>
        <w:t>s</w:t>
      </w:r>
      <w:r w:rsidRPr="0055285C">
        <w:t xml:space="preserve">, I will examine how often the least profitable areas of fields overlap with areas where a conservation practice could be placed to maximize </w:t>
      </w:r>
      <w:r>
        <w:t xml:space="preserve">spatially-determined </w:t>
      </w:r>
      <w:r w:rsidRPr="0055285C">
        <w:t xml:space="preserve">environmental benefits. </w:t>
      </w:r>
    </w:p>
    <w:p w:rsidR="00D338BF" w:rsidRDefault="00D338BF" w:rsidP="00D338BF">
      <w:r>
        <w:t xml:space="preserve">I plan to use publicly available geospatial data and the GIS-based Agricultural Conservation Planning Framework (ACPF). Using the past </w:t>
      </w:r>
      <w:bookmarkStart w:id="0" w:name="_GoBack"/>
      <w:bookmarkEnd w:id="0"/>
      <w:r w:rsidR="00887DD5">
        <w:t>five</w:t>
      </w:r>
      <w:r>
        <w:t xml:space="preserve"> years of corn and soybean production cost and commodity price data, I will determine the breakeven Iowa Corn Suitability Rating (CSR2) value that identifies an area as unprofitable in an average year by county. </w:t>
      </w:r>
      <w:r w:rsidRPr="00225F0C">
        <w:t xml:space="preserve">I will use the ACPF tool </w:t>
      </w:r>
      <w:r>
        <w:t xml:space="preserve">to determine high-priority fields for runoff risk and erosion. In those fields, I will compare recommended conservation practice placement for various conservation practices versus areas where CSR2 ratings are below the county breakeven CSR2 rating. I will run the ACPF Financials Tool on both scenarios (biophysically placed vs. economically placed) to compare potential costs and potential nutrient reduction from each scenario and where overlap exists, if any. </w:t>
      </w:r>
      <w:r w:rsidRPr="00B32E18">
        <w:t xml:space="preserve">This research will provide insights into if subfield profitable areas are actually ideal placement for </w:t>
      </w:r>
      <w:r>
        <w:t xml:space="preserve">spatially-determined </w:t>
      </w:r>
      <w:r w:rsidRPr="00B32E18">
        <w:t>conservation practices and what possible financial incentives exist.</w:t>
      </w:r>
      <w:r>
        <w:rPr>
          <w:i/>
        </w:rPr>
        <w:t xml:space="preserve"> </w:t>
      </w:r>
    </w:p>
    <w:p w:rsidR="00825ADD" w:rsidRDefault="00B57523"/>
    <w:sectPr w:rsidR="0082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BC"/>
    <w:rsid w:val="0016079E"/>
    <w:rsid w:val="004252BF"/>
    <w:rsid w:val="00887DD5"/>
    <w:rsid w:val="00A23CBC"/>
    <w:rsid w:val="00B57523"/>
    <w:rsid w:val="00B73DBF"/>
    <w:rsid w:val="00D3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E3B5"/>
  <w15:chartTrackingRefBased/>
  <w15:docId w15:val="{CF81E7E2-AA2E-43B6-93FC-6C3E349D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Haleigh N [NREM]</dc:creator>
  <cp:keywords/>
  <dc:description/>
  <cp:lastModifiedBy>Summers, Haleigh N [NREM]</cp:lastModifiedBy>
  <cp:revision>2</cp:revision>
  <dcterms:created xsi:type="dcterms:W3CDTF">2022-01-03T21:01:00Z</dcterms:created>
  <dcterms:modified xsi:type="dcterms:W3CDTF">2022-01-03T21:01:00Z</dcterms:modified>
</cp:coreProperties>
</file>